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92" w:rsidRDefault="003F6F92">
      <w:pPr>
        <w:pStyle w:val="Reportheader"/>
        <w:widowControl/>
      </w:pPr>
    </w:p>
    <w:p w:rsidR="003F6F92" w:rsidRDefault="003F6F92">
      <w:pPr>
        <w:pStyle w:val="Reportheader"/>
        <w:widowControl/>
      </w:pPr>
    </w:p>
    <w:p w:rsidR="003F6F92" w:rsidRDefault="00235573">
      <w:pPr>
        <w:pStyle w:val="Sectiontitle"/>
        <w:widowControl/>
      </w:pPr>
      <w:r>
        <w:t>Karta charakterystyki z dnia 18/4/2013, wersja 1</w:t>
      </w:r>
    </w:p>
    <w:p w:rsidR="003F6F92" w:rsidRDefault="003F6F92">
      <w:pPr>
        <w:pStyle w:val="Sectiontitle"/>
        <w:widowControl/>
      </w:pPr>
    </w:p>
    <w:p w:rsidR="003F6F92" w:rsidRDefault="00D72047">
      <w:pPr>
        <w:pStyle w:val="Sectiontitle"/>
        <w:widowControl/>
      </w:pPr>
      <w:r>
        <w:pict>
          <v:line id="_x0000_s1026" style="position:absolute;z-index:-251666432" from="-2.8pt,0" to="474.8pt,.05pt" o:allowincell="f" strokeweight=".25pt"/>
        </w:pict>
      </w:r>
      <w:r w:rsidR="00235573">
        <w:t>1. IDENTYFIKACJA SUBSTANCJI/MIESZANINY ORAZ FIRMY/PRZEDSIĘBIORSTWA</w:t>
      </w:r>
    </w:p>
    <w:p w:rsidR="003F6F92" w:rsidRDefault="00235573">
      <w:pPr>
        <w:pStyle w:val="SDStext"/>
        <w:widowControl/>
        <w:ind w:left="566"/>
      </w:pPr>
      <w:r>
        <w:t>1.1. Identyfikator produktu</w:t>
      </w:r>
    </w:p>
    <w:p w:rsidR="003F6F92" w:rsidRDefault="00235573">
      <w:pPr>
        <w:pStyle w:val="SDStext"/>
        <w:widowControl/>
        <w:ind w:left="1133"/>
      </w:pPr>
      <w:r>
        <w:t>Identyfikacja mieszaniny:</w:t>
      </w:r>
    </w:p>
    <w:p w:rsidR="003F6F92" w:rsidRDefault="00235573">
      <w:pPr>
        <w:pStyle w:val="SDStext"/>
        <w:widowControl/>
        <w:ind w:left="3968" w:hanging="2834"/>
      </w:pPr>
      <w:r>
        <w:t xml:space="preserve">Nazwa handlowa: </w:t>
      </w:r>
      <w:r>
        <w:tab/>
        <w:t>GEL ASSORBI-ODORI FRESH PLUS-FRIDGE/POCHŁANIACZ ZAPACHÓW W LODÓWCE FRESH-PLUS ELECTROLUX</w:t>
      </w:r>
    </w:p>
    <w:p w:rsidR="003F6F92" w:rsidRDefault="00235573">
      <w:pPr>
        <w:pStyle w:val="SDStext"/>
        <w:widowControl/>
        <w:ind w:left="3968" w:hanging="2834"/>
      </w:pPr>
      <w:r>
        <w:t xml:space="preserve">Kod handlowy: </w:t>
      </w:r>
      <w:r>
        <w:tab/>
        <w:t>9029792240</w:t>
      </w:r>
    </w:p>
    <w:p w:rsidR="003F6F92" w:rsidRDefault="00235573">
      <w:pPr>
        <w:pStyle w:val="SDStext"/>
        <w:widowControl/>
        <w:ind w:left="566"/>
      </w:pPr>
      <w:r>
        <w:t>1.2. Odpowiednie zidentyfikowane zastosowania substancji lub mieszaniny i zastosowania odradzane</w:t>
      </w:r>
    </w:p>
    <w:p w:rsidR="003F6F92" w:rsidRDefault="00235573">
      <w:pPr>
        <w:pStyle w:val="SDStext"/>
        <w:widowControl/>
        <w:ind w:left="566"/>
      </w:pPr>
      <w:r>
        <w:t>Przeznaczenie:</w:t>
      </w:r>
    </w:p>
    <w:p w:rsidR="003F6F92" w:rsidRDefault="00235573">
      <w:pPr>
        <w:pStyle w:val="SDStext"/>
        <w:widowControl/>
        <w:ind w:left="566"/>
      </w:pPr>
      <w:r>
        <w:t>POCHŁANIACZ ZAPACHÓW W LODÓWCE</w:t>
      </w:r>
    </w:p>
    <w:p w:rsidR="003F6F92" w:rsidRDefault="00235573">
      <w:pPr>
        <w:pStyle w:val="SDStext"/>
        <w:widowControl/>
        <w:ind w:left="566"/>
      </w:pPr>
      <w:r>
        <w:t>1.3. Dane dotyczące dostawcy karty charakterystyki</w:t>
      </w:r>
    </w:p>
    <w:p w:rsidR="003F6F92" w:rsidRDefault="00235573">
      <w:pPr>
        <w:pStyle w:val="SDStext"/>
        <w:widowControl/>
        <w:ind w:left="1133"/>
      </w:pPr>
      <w:r>
        <w:t>Zakład pracy:</w:t>
      </w:r>
    </w:p>
    <w:p w:rsidR="003F6F92" w:rsidRDefault="00235573">
      <w:pPr>
        <w:pStyle w:val="SDStext"/>
        <w:widowControl/>
        <w:ind w:left="1133"/>
      </w:pPr>
      <w:r>
        <w:t xml:space="preserve">AXOR SRL </w:t>
      </w:r>
    </w:p>
    <w:p w:rsidR="003F6F92" w:rsidRDefault="00235573">
      <w:pPr>
        <w:pStyle w:val="SDStext"/>
        <w:widowControl/>
        <w:ind w:left="1133"/>
      </w:pPr>
      <w:r>
        <w:t xml:space="preserve">Via dell'Artigianato 8 </w:t>
      </w:r>
    </w:p>
    <w:p w:rsidR="003F6F92" w:rsidRDefault="00235573">
      <w:pPr>
        <w:pStyle w:val="SDStext"/>
        <w:widowControl/>
        <w:ind w:left="1133"/>
      </w:pPr>
      <w:r>
        <w:t>35020 Pernumia (PD)</w:t>
      </w:r>
    </w:p>
    <w:p w:rsidR="003F6F92" w:rsidRDefault="00235573">
      <w:pPr>
        <w:pStyle w:val="SDStext"/>
        <w:widowControl/>
        <w:ind w:left="1133"/>
      </w:pPr>
      <w:r>
        <w:t>Nr telefonu 0039 429763476</w:t>
      </w:r>
    </w:p>
    <w:p w:rsidR="003F6F92" w:rsidRDefault="00235573">
      <w:pPr>
        <w:pStyle w:val="SDStext"/>
        <w:widowControl/>
        <w:ind w:left="566"/>
      </w:pPr>
      <w:r>
        <w:t>Osoba odpowiedzialna za kartę charakterystyki:</w:t>
      </w:r>
    </w:p>
    <w:p w:rsidR="003F6F92" w:rsidRDefault="00235573">
      <w:pPr>
        <w:pStyle w:val="SDStext"/>
        <w:widowControl/>
        <w:ind w:left="1133"/>
      </w:pPr>
      <w:r>
        <w:t>axor@axor.net</w:t>
      </w:r>
    </w:p>
    <w:p w:rsidR="003F6F92" w:rsidRDefault="00235573">
      <w:pPr>
        <w:pStyle w:val="SDStext"/>
        <w:widowControl/>
        <w:ind w:left="566"/>
      </w:pPr>
      <w:r>
        <w:t>1.4. Numer telefonu alarmowego</w:t>
      </w: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27" style="position:absolute;z-index:-251665408" from="-2.8pt,0" to="474.8pt,.05pt" o:allowincell="f" strokeweight=".25pt"/>
        </w:pict>
      </w:r>
      <w:r w:rsidR="00235573">
        <w:t>2. IDENTYFIKACJA ZAGROŻEŃ</w:t>
      </w:r>
    </w:p>
    <w:p w:rsidR="003F6F92" w:rsidRDefault="00235573">
      <w:pPr>
        <w:pStyle w:val="SDStext"/>
        <w:widowControl/>
        <w:ind w:left="566"/>
      </w:pPr>
      <w:r>
        <w:t>2.1. Klasyfikacja substancji lub mieszaniny</w:t>
      </w:r>
    </w:p>
    <w:p w:rsidR="003F6F92" w:rsidRDefault="00235573">
      <w:pPr>
        <w:pStyle w:val="SDStext"/>
        <w:widowControl/>
        <w:ind w:left="566"/>
      </w:pPr>
      <w:r>
        <w:t>Kryteria określone w dyrektywie 67/548/CE, 99/45/WE z późniejszymi zmianami:</w:t>
      </w:r>
    </w:p>
    <w:p w:rsidR="003F6F92" w:rsidRDefault="00235573">
      <w:pPr>
        <w:pStyle w:val="SDStext"/>
        <w:widowControl/>
        <w:ind w:left="566"/>
      </w:pPr>
      <w:r>
        <w:t>Właściwości / symbole:</w:t>
      </w:r>
    </w:p>
    <w:p w:rsidR="003F6F92" w:rsidRDefault="00235573">
      <w:pPr>
        <w:pStyle w:val="SDStext"/>
        <w:widowControl/>
        <w:ind w:left="1133"/>
      </w:pPr>
      <w:r>
        <w:t>Produkt nie jest artykułem szkodliwym i nie musi być oznakowany zgodnie z dyrektywą WE 67/548, 99/45 z późniejszymi zmianami.</w:t>
      </w:r>
    </w:p>
    <w:p w:rsidR="003F6F92" w:rsidRDefault="003F6F92">
      <w:pPr>
        <w:pStyle w:val="SDStext"/>
        <w:widowControl/>
        <w:ind w:left="566"/>
      </w:pPr>
    </w:p>
    <w:p w:rsidR="003F6F92" w:rsidRDefault="00235573">
      <w:pPr>
        <w:pStyle w:val="SDStext"/>
        <w:widowControl/>
        <w:ind w:left="566"/>
      </w:pPr>
      <w:r>
        <w:t xml:space="preserve">Szkodliwe działania fizykochemiczne; działania szkodliwe dla zdrowia człowieka i środowiska naturalnego: </w:t>
      </w:r>
    </w:p>
    <w:p w:rsidR="003F6F92" w:rsidRDefault="00235573">
      <w:pPr>
        <w:pStyle w:val="SDStext"/>
        <w:widowControl/>
        <w:ind w:left="1133"/>
      </w:pPr>
      <w:r>
        <w:t>Brak innych zagrożeń</w:t>
      </w:r>
    </w:p>
    <w:p w:rsidR="003F6F92" w:rsidRDefault="003F6F92">
      <w:pPr>
        <w:pStyle w:val="SDStext"/>
        <w:widowControl/>
        <w:ind w:left="1133"/>
      </w:pPr>
    </w:p>
    <w:p w:rsidR="003F6F92" w:rsidRDefault="00235573">
      <w:pPr>
        <w:pStyle w:val="SDStext"/>
        <w:widowControl/>
        <w:ind w:left="566"/>
      </w:pPr>
      <w:r>
        <w:t>2.2. Elementy etykiety</w:t>
      </w:r>
    </w:p>
    <w:p w:rsidR="003F6F92" w:rsidRDefault="00235573">
      <w:pPr>
        <w:pStyle w:val="SDStext"/>
        <w:widowControl/>
        <w:ind w:left="566"/>
      </w:pPr>
      <w:r>
        <w:t>Zwroty S:</w:t>
      </w:r>
    </w:p>
    <w:p w:rsidR="003F6F92" w:rsidRDefault="00235573">
      <w:pPr>
        <w:pStyle w:val="SDStext"/>
        <w:widowControl/>
        <w:ind w:left="1133"/>
      </w:pPr>
      <w:r>
        <w:t>S2 Chronić przed dziećmi.</w:t>
      </w:r>
    </w:p>
    <w:p w:rsidR="003F6F92" w:rsidRDefault="003F6F92">
      <w:pPr>
        <w:pStyle w:val="SDStext"/>
        <w:widowControl/>
        <w:ind w:left="566"/>
      </w:pPr>
    </w:p>
    <w:p w:rsidR="003F6F92" w:rsidRDefault="00235573">
      <w:pPr>
        <w:pStyle w:val="SDStext"/>
        <w:widowControl/>
        <w:ind w:left="566"/>
      </w:pPr>
      <w:r>
        <w:t xml:space="preserve">Skład produktu: </w:t>
      </w:r>
    </w:p>
    <w:p w:rsidR="003F6F92" w:rsidRDefault="00235573">
      <w:pPr>
        <w:pStyle w:val="SDStext"/>
        <w:widowControl/>
        <w:ind w:left="566"/>
      </w:pPr>
      <w:r>
        <w:t>Lista wszystkich składników, według zmniejszającego się udziału wagowego, podzielonych na kategorie  procentów wagowych (Reg 648/2004/WE An. VII, C).</w:t>
      </w:r>
    </w:p>
    <w:p w:rsidR="003F6F92" w:rsidRDefault="00235573">
      <w:pPr>
        <w:pStyle w:val="SDStext"/>
        <w:widowControl/>
        <w:ind w:left="566"/>
      </w:pPr>
      <w:r>
        <w:t>2.3. Inne zagrożenia</w:t>
      </w:r>
    </w:p>
    <w:p w:rsidR="003F6F92" w:rsidRDefault="00235573">
      <w:pPr>
        <w:pStyle w:val="SDStext"/>
        <w:widowControl/>
        <w:ind w:left="1133"/>
      </w:pPr>
      <w:r>
        <w:t>vPvB Substancje: Brak - Substancje PBT: Brak</w:t>
      </w:r>
    </w:p>
    <w:p w:rsidR="003F6F92" w:rsidRDefault="00235573">
      <w:pPr>
        <w:pStyle w:val="SDStext"/>
        <w:widowControl/>
        <w:ind w:left="566"/>
      </w:pPr>
      <w:r>
        <w:t>Inne zagrożenia:</w:t>
      </w:r>
    </w:p>
    <w:p w:rsidR="003F6F92" w:rsidRDefault="00235573">
      <w:pPr>
        <w:pStyle w:val="SDStext"/>
        <w:widowControl/>
        <w:ind w:left="1133"/>
      </w:pPr>
      <w:r>
        <w:t>Brak innych zagrożeń</w:t>
      </w:r>
    </w:p>
    <w:p w:rsidR="003F6F92" w:rsidRDefault="003F6F92">
      <w:pPr>
        <w:pStyle w:val="SDStext"/>
        <w:widowControl/>
        <w:ind w:left="566"/>
      </w:pPr>
    </w:p>
    <w:p w:rsidR="003F6F92" w:rsidRDefault="00D72047">
      <w:pPr>
        <w:pStyle w:val="Sectiontitle"/>
        <w:widowControl/>
      </w:pPr>
      <w:r>
        <w:pict>
          <v:line id="_x0000_s1028" style="position:absolute;z-index:-251664384" from="-2.8pt,0" to="474.8pt,.05pt" o:allowincell="f" strokeweight=".25pt"/>
        </w:pict>
      </w:r>
      <w:r w:rsidR="00235573">
        <w:t>3. SKŁAD / INFORMACJA O SKŁADNIKACH</w:t>
      </w:r>
    </w:p>
    <w:p w:rsidR="003F6F92" w:rsidRDefault="00235573">
      <w:pPr>
        <w:pStyle w:val="SDStext"/>
        <w:widowControl/>
        <w:ind w:left="566"/>
      </w:pPr>
      <w:r>
        <w:t>3.1. Substancje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3.2. Mieszaniny</w:t>
      </w:r>
    </w:p>
    <w:p w:rsidR="003F6F92" w:rsidRDefault="00235573">
      <w:pPr>
        <w:pStyle w:val="SDStext"/>
        <w:widowControl/>
        <w:ind w:left="1133"/>
      </w:pPr>
      <w:r>
        <w:lastRenderedPageBreak/>
        <w:t>Niebezpieczne składniki w rozumieniu dyrektywy EWG 67/548 i rozporządzenia CLP oraz powiązana klasyfikacja:</w:t>
      </w:r>
    </w:p>
    <w:p w:rsidR="003F6F92" w:rsidRDefault="00235573">
      <w:pPr>
        <w:pStyle w:val="SDStext"/>
        <w:widowControl/>
        <w:ind w:left="566"/>
      </w:pPr>
      <w:r>
        <w:t>Brak.</w:t>
      </w:r>
    </w:p>
    <w:p w:rsidR="003F6F92" w:rsidRDefault="003F6F92">
      <w:pPr>
        <w:pStyle w:val="SDStext"/>
        <w:widowControl/>
        <w:ind w:left="566"/>
      </w:pPr>
    </w:p>
    <w:p w:rsidR="003F6F92" w:rsidRDefault="003F6F92">
      <w:pPr>
        <w:pStyle w:val="SDStext"/>
        <w:widowControl/>
        <w:ind w:left="566"/>
      </w:pPr>
    </w:p>
    <w:p w:rsidR="003F6F92" w:rsidRDefault="003F6F92">
      <w:pPr>
        <w:pStyle w:val="SDStext"/>
        <w:widowControl/>
        <w:ind w:left="566"/>
      </w:pPr>
    </w:p>
    <w:p w:rsidR="003F6F92" w:rsidRDefault="00D72047">
      <w:pPr>
        <w:pStyle w:val="Sectiontitle"/>
        <w:widowControl/>
      </w:pPr>
      <w:r>
        <w:pict>
          <v:line id="_x0000_s1029" style="position:absolute;z-index:-251663360" from="-2.8pt,0" to="474.8pt,.05pt" o:allowincell="f" strokeweight=".25pt"/>
        </w:pict>
      </w:r>
      <w:r w:rsidR="00235573">
        <w:t>4. POSTĘPOWANIE PODCZAS UDZIELANIA PIERWSZEJ POMOCY</w:t>
      </w:r>
    </w:p>
    <w:p w:rsidR="003F6F92" w:rsidRDefault="00235573">
      <w:pPr>
        <w:pStyle w:val="SDStext"/>
        <w:widowControl/>
        <w:ind w:left="566"/>
      </w:pPr>
      <w:r>
        <w:t>4.1. Opis środków pierwszej pomocy</w:t>
      </w:r>
    </w:p>
    <w:p w:rsidR="003F6F92" w:rsidRDefault="00235573">
      <w:pPr>
        <w:pStyle w:val="SDStext"/>
        <w:widowControl/>
        <w:ind w:left="566"/>
      </w:pPr>
      <w:r>
        <w:t>W przypadku kontaktu ze skórą:</w:t>
      </w:r>
    </w:p>
    <w:p w:rsidR="003F6F92" w:rsidRDefault="00235573">
      <w:pPr>
        <w:pStyle w:val="SDStext"/>
        <w:widowControl/>
        <w:ind w:left="1133"/>
      </w:pPr>
      <w:r>
        <w:t>Zmyć dużą ilością wody z mydłem.</w:t>
      </w:r>
    </w:p>
    <w:p w:rsidR="003F6F92" w:rsidRDefault="00235573">
      <w:pPr>
        <w:pStyle w:val="SDStext"/>
        <w:widowControl/>
        <w:ind w:left="566"/>
      </w:pPr>
      <w:r>
        <w:t>W przypadku kontaktu z oczami:</w:t>
      </w:r>
    </w:p>
    <w:p w:rsidR="003F6F92" w:rsidRDefault="00235573">
      <w:pPr>
        <w:pStyle w:val="SDStext"/>
        <w:widowControl/>
        <w:ind w:left="1133"/>
      </w:pPr>
      <w:r>
        <w:t>W przypadku kontaktu z oczami, oczy należy natychmiast przepłukać obfitą ilością wody i zwrócić się po pomoc lekarską.</w:t>
      </w:r>
    </w:p>
    <w:p w:rsidR="003F6F92" w:rsidRDefault="00235573">
      <w:pPr>
        <w:pStyle w:val="SDStext"/>
        <w:widowControl/>
        <w:ind w:left="566"/>
      </w:pPr>
      <w:r>
        <w:t>W przypadku połknięcia:</w:t>
      </w:r>
    </w:p>
    <w:p w:rsidR="003F6F92" w:rsidRDefault="00235573">
      <w:pPr>
        <w:pStyle w:val="SDStext"/>
        <w:widowControl/>
        <w:ind w:left="1133"/>
      </w:pPr>
      <w:r>
        <w:t>Nie należy w żadnym wypadku wywoływać wymiotów. NATYCHMIAST PODDAĆ SIĘ BADANIU LEKARSKIEMU.</w:t>
      </w:r>
    </w:p>
    <w:p w:rsidR="003F6F92" w:rsidRDefault="00235573">
      <w:pPr>
        <w:pStyle w:val="SDStext"/>
        <w:widowControl/>
        <w:ind w:left="566"/>
      </w:pPr>
      <w:r>
        <w:t>W przypadku przedostania się do dróg oddechowych:</w:t>
      </w:r>
    </w:p>
    <w:p w:rsidR="003F6F92" w:rsidRDefault="00235573">
      <w:pPr>
        <w:pStyle w:val="SDStext"/>
        <w:widowControl/>
        <w:ind w:left="1133"/>
      </w:pPr>
      <w:r>
        <w:t>Wynieść poszkodowanego na świeże powietrze i zapewnić ciepło i spokój.</w:t>
      </w:r>
    </w:p>
    <w:p w:rsidR="003F6F92" w:rsidRDefault="00235573">
      <w:pPr>
        <w:pStyle w:val="SDStext"/>
        <w:widowControl/>
        <w:ind w:left="566"/>
      </w:pPr>
      <w:r>
        <w:t>4.2. Najważniejsze objawy i skutki, zarówno ostre, jak i opóźnione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235573">
      <w:pPr>
        <w:pStyle w:val="SDStext"/>
        <w:widowControl/>
        <w:ind w:left="566"/>
      </w:pPr>
      <w:r>
        <w:t>4.3. Wymagana natychmiastowa pomoc lekarska i specjalistyczne leczenie</w:t>
      </w:r>
    </w:p>
    <w:p w:rsidR="003F6F92" w:rsidRDefault="00235573">
      <w:pPr>
        <w:pStyle w:val="SDStext"/>
        <w:widowControl/>
        <w:ind w:left="1133"/>
      </w:pPr>
      <w:r>
        <w:t xml:space="preserve">Leczenie: 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0" style="position:absolute;z-index:-251662336" from="-2.8pt,0" to="474.8pt,.05pt" o:allowincell="f" strokeweight=".25pt"/>
        </w:pict>
      </w:r>
      <w:r w:rsidR="00235573">
        <w:t>5. POSTĘPOWANIE W PRZYPADKU POŻARU</w:t>
      </w:r>
    </w:p>
    <w:p w:rsidR="003F6F92" w:rsidRDefault="00235573">
      <w:pPr>
        <w:pStyle w:val="SDStext"/>
        <w:widowControl/>
        <w:ind w:left="566"/>
      </w:pPr>
      <w:r>
        <w:t>5.1. Środki gaśnicze</w:t>
      </w:r>
    </w:p>
    <w:p w:rsidR="003F6F92" w:rsidRDefault="00235573">
      <w:pPr>
        <w:pStyle w:val="SDStext"/>
        <w:widowControl/>
        <w:ind w:left="1133"/>
      </w:pPr>
      <w:r>
        <w:t>Odpowiednie środki gaśnicze:</w:t>
      </w:r>
    </w:p>
    <w:p w:rsidR="003F6F92" w:rsidRDefault="00235573">
      <w:pPr>
        <w:pStyle w:val="SDStext"/>
        <w:widowControl/>
        <w:ind w:left="1133"/>
      </w:pPr>
      <w:r>
        <w:t>Woda.</w:t>
      </w:r>
    </w:p>
    <w:p w:rsidR="003F6F92" w:rsidRDefault="00235573">
      <w:pPr>
        <w:pStyle w:val="SDStext"/>
        <w:widowControl/>
        <w:ind w:left="1133"/>
      </w:pPr>
      <w:r>
        <w:t>Dwutlenek węgla (CO2).</w:t>
      </w:r>
    </w:p>
    <w:p w:rsidR="003F6F92" w:rsidRDefault="00235573">
      <w:pPr>
        <w:pStyle w:val="SDStext"/>
        <w:widowControl/>
        <w:ind w:left="1133"/>
      </w:pPr>
      <w:r>
        <w:t>Środki gaśnicze, których nie można stosować ze względów bezpieczeństwa</w:t>
      </w:r>
    </w:p>
    <w:p w:rsidR="003F6F92" w:rsidRDefault="00235573">
      <w:pPr>
        <w:pStyle w:val="SDStext"/>
        <w:widowControl/>
        <w:ind w:left="1133"/>
      </w:pPr>
      <w:r>
        <w:t>Żadne szczególne.</w:t>
      </w:r>
    </w:p>
    <w:p w:rsidR="003F6F92" w:rsidRDefault="00235573">
      <w:pPr>
        <w:pStyle w:val="SDStext"/>
        <w:widowControl/>
        <w:ind w:left="566"/>
      </w:pPr>
      <w:r>
        <w:t>5.2. Szczególne zagrożenia wynikające z właściwości substancji lub mieszaniny</w:t>
      </w:r>
    </w:p>
    <w:p w:rsidR="003F6F92" w:rsidRDefault="00235573">
      <w:pPr>
        <w:pStyle w:val="SDStext"/>
        <w:widowControl/>
        <w:ind w:left="1133"/>
      </w:pPr>
      <w:r>
        <w:t>Nie wdychać gazów powstałych podczas wybuchu lub spalania.</w:t>
      </w:r>
    </w:p>
    <w:p w:rsidR="003F6F92" w:rsidRDefault="00235573">
      <w:pPr>
        <w:pStyle w:val="SDStext"/>
        <w:widowControl/>
        <w:ind w:left="1133"/>
      </w:pPr>
      <w:r>
        <w:t>Podczas palenia powstają duże ilości dymu.</w:t>
      </w:r>
    </w:p>
    <w:p w:rsidR="003F6F92" w:rsidRDefault="00235573">
      <w:pPr>
        <w:pStyle w:val="SDStext"/>
        <w:widowControl/>
        <w:ind w:left="566"/>
      </w:pPr>
      <w:r>
        <w:t>5.3. Porady dla strażaków</w:t>
      </w:r>
    </w:p>
    <w:p w:rsidR="003F6F92" w:rsidRDefault="00235573">
      <w:pPr>
        <w:pStyle w:val="SDStext"/>
        <w:widowControl/>
        <w:ind w:left="1133"/>
      </w:pPr>
      <w:r>
        <w:t>Używać odpowiedniego aparatu oddechowego.</w:t>
      </w:r>
    </w:p>
    <w:p w:rsidR="003F6F92" w:rsidRDefault="00235573">
      <w:pPr>
        <w:pStyle w:val="SDStext"/>
        <w:widowControl/>
        <w:ind w:left="1133"/>
      </w:pPr>
      <w:r>
        <w:t>Zanieczyszczoną wodę gaśniczą zbierać w osobnym miejscu. Nie można jej odprowadzać do kanalizacji.</w:t>
      </w:r>
    </w:p>
    <w:p w:rsidR="003F6F92" w:rsidRDefault="00235573">
      <w:pPr>
        <w:pStyle w:val="SDStext"/>
        <w:widowControl/>
        <w:ind w:left="1133"/>
      </w:pPr>
      <w:r>
        <w:t>Jeśli można to zrobić bezpiecznie, przenieś nieuszkodzone pojemniki z miejsca zagrożenia.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1" style="position:absolute;z-index:-251661312" from="-2.8pt,0" to="474.8pt,.05pt" o:allowincell="f" strokeweight=".25pt"/>
        </w:pict>
      </w:r>
      <w:r w:rsidR="00235573">
        <w:t>6. POSTĘPOWANIE W PRZYPADKU NIEZAMIERZONEGO UWOLNIENIA DO ŚRODOWISKA:</w:t>
      </w:r>
    </w:p>
    <w:p w:rsidR="003F6F92" w:rsidRDefault="00235573">
      <w:pPr>
        <w:pStyle w:val="SDStext"/>
        <w:widowControl/>
        <w:ind w:left="566"/>
      </w:pPr>
      <w:r>
        <w:t>6.1. Indywidualne środki ostrożności, wyposażenie ochronne, oraz procedury awaryjne</w:t>
      </w:r>
    </w:p>
    <w:p w:rsidR="003F6F92" w:rsidRDefault="00235573">
      <w:pPr>
        <w:pStyle w:val="SDStext"/>
        <w:widowControl/>
        <w:ind w:left="1133"/>
      </w:pPr>
      <w:r>
        <w:t>Nosić sprzęt ochrony osobistej.</w:t>
      </w:r>
    </w:p>
    <w:p w:rsidR="003F6F92" w:rsidRDefault="00235573">
      <w:pPr>
        <w:pStyle w:val="SDStext"/>
        <w:widowControl/>
        <w:ind w:left="1133"/>
      </w:pPr>
      <w:r>
        <w:t>Przeprowadzić ludzi w bezpieczne miejsce.</w:t>
      </w:r>
    </w:p>
    <w:p w:rsidR="003F6F92" w:rsidRDefault="00235573">
      <w:pPr>
        <w:pStyle w:val="SDStext"/>
        <w:widowControl/>
        <w:ind w:left="1133"/>
      </w:pPr>
      <w:r>
        <w:t>Środki ochrony: patrz pkt 7 i 8.</w:t>
      </w:r>
    </w:p>
    <w:p w:rsidR="003F6F92" w:rsidRDefault="00235573">
      <w:pPr>
        <w:pStyle w:val="SDStext"/>
        <w:widowControl/>
        <w:ind w:left="566"/>
      </w:pPr>
      <w:r>
        <w:t>6.2. Środki ostrożności w zakresie ochrony środowiska</w:t>
      </w:r>
    </w:p>
    <w:p w:rsidR="003F6F92" w:rsidRDefault="00235573">
      <w:pPr>
        <w:pStyle w:val="SDStext"/>
        <w:widowControl/>
        <w:ind w:left="1133"/>
      </w:pPr>
      <w:r>
        <w:t>Nie dopuścić do przedostania się do gruntu/gleby. Nie dopuścić do przedostania się do wód powierzchniowych i kanalizacji.</w:t>
      </w:r>
    </w:p>
    <w:p w:rsidR="003F6F92" w:rsidRDefault="00235573">
      <w:pPr>
        <w:pStyle w:val="SDStext"/>
        <w:widowControl/>
        <w:ind w:left="1133"/>
      </w:pPr>
      <w:r>
        <w:t>Zebrać skażoną wodę pochodzącą z mycia i usunąć ją.</w:t>
      </w:r>
    </w:p>
    <w:p w:rsidR="003F6F92" w:rsidRDefault="00235573">
      <w:pPr>
        <w:pStyle w:val="SDStext"/>
        <w:widowControl/>
        <w:ind w:left="1133"/>
      </w:pPr>
      <w:r>
        <w:t>W przypadku ulatniania się gazu lub przedostania się do wód, gleby lub ścieków, poinformować odpowiednie władze.</w:t>
      </w:r>
    </w:p>
    <w:p w:rsidR="003F6F92" w:rsidRDefault="00235573">
      <w:pPr>
        <w:pStyle w:val="SDStext"/>
        <w:widowControl/>
        <w:ind w:left="1133"/>
      </w:pPr>
      <w:r>
        <w:t>Odpowiedni materiał do zebrania: materiał absorpcyjny, organiczny piasek</w:t>
      </w:r>
    </w:p>
    <w:p w:rsidR="003F6F92" w:rsidRDefault="00235573">
      <w:pPr>
        <w:pStyle w:val="SDStext"/>
        <w:widowControl/>
        <w:ind w:left="566"/>
      </w:pPr>
      <w:r>
        <w:lastRenderedPageBreak/>
        <w:t>6.3. Metody i materiały do separacji i oczyszczania:</w:t>
      </w:r>
    </w:p>
    <w:p w:rsidR="003F6F92" w:rsidRDefault="00235573">
      <w:pPr>
        <w:pStyle w:val="SDStext"/>
        <w:widowControl/>
        <w:ind w:left="1133"/>
      </w:pPr>
      <w:r>
        <w:t>Umyć dużą ilością wody.</w:t>
      </w:r>
    </w:p>
    <w:p w:rsidR="003F6F92" w:rsidRDefault="00235573">
      <w:pPr>
        <w:pStyle w:val="SDStext"/>
        <w:widowControl/>
        <w:ind w:left="566"/>
      </w:pPr>
      <w:r>
        <w:t>6.4. Odniesienia do innych rozdziałów</w:t>
      </w:r>
    </w:p>
    <w:p w:rsidR="003F6F92" w:rsidRDefault="00235573">
      <w:pPr>
        <w:pStyle w:val="SDStext"/>
        <w:widowControl/>
        <w:ind w:left="1133"/>
      </w:pPr>
      <w:r>
        <w:t>Patrz także punkt 8 i 13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2" style="position:absolute;z-index:-251660288" from="-2.8pt,0" to="474.8pt,.05pt" o:allowincell="f" strokeweight=".25pt"/>
        </w:pict>
      </w:r>
      <w:r w:rsidR="00235573">
        <w:t>7. POSTĘPOWANIE Z SUBSTANCJĄ I JEJ MAGAZYNOWANIE</w:t>
      </w:r>
    </w:p>
    <w:p w:rsidR="003F6F92" w:rsidRDefault="00235573">
      <w:pPr>
        <w:pStyle w:val="SDStext"/>
        <w:widowControl/>
        <w:ind w:left="566"/>
      </w:pPr>
      <w:r>
        <w:t>7.1. Środki ostrożności dotyczące bezpiecznego postępowania</w:t>
      </w:r>
    </w:p>
    <w:p w:rsidR="003F6F92" w:rsidRDefault="00235573">
      <w:pPr>
        <w:pStyle w:val="SDStext"/>
        <w:widowControl/>
        <w:ind w:left="1133"/>
      </w:pPr>
      <w:r>
        <w:t>Unikać kontaktu ze skórą i oczami, wdychania par i mgieł.</w:t>
      </w:r>
    </w:p>
    <w:p w:rsidR="003F6F92" w:rsidRDefault="00235573">
      <w:pPr>
        <w:pStyle w:val="SDStext"/>
        <w:widowControl/>
        <w:ind w:left="1133"/>
      </w:pPr>
      <w:r>
        <w:t>W żadnym przypadku nie jeść i nie pić na stanowisku pracy.</w:t>
      </w:r>
    </w:p>
    <w:p w:rsidR="003F6F92" w:rsidRDefault="00235573">
      <w:pPr>
        <w:pStyle w:val="SDStext"/>
        <w:widowControl/>
        <w:ind w:left="1133"/>
      </w:pPr>
      <w:r>
        <w:t>Zalecany sprzęt ochronny: patrz także punkt 8.</w:t>
      </w:r>
    </w:p>
    <w:p w:rsidR="003F6F92" w:rsidRDefault="00235573">
      <w:pPr>
        <w:pStyle w:val="SDStext"/>
        <w:widowControl/>
        <w:ind w:left="566"/>
      </w:pPr>
      <w:r>
        <w:t>7.2. Warunki bezpiecznego składowania, w tym jakiekolwiek niezgodności</w:t>
      </w:r>
    </w:p>
    <w:p w:rsidR="003F6F92" w:rsidRDefault="00235573">
      <w:pPr>
        <w:pStyle w:val="SDStext"/>
        <w:widowControl/>
        <w:ind w:left="1133"/>
      </w:pPr>
      <w:r>
        <w:t>Trzymać z dala od żywności, napojów i paszy.</w:t>
      </w:r>
    </w:p>
    <w:p w:rsidR="003F6F92" w:rsidRDefault="00235573">
      <w:pPr>
        <w:pStyle w:val="SDStext"/>
        <w:widowControl/>
        <w:ind w:left="1133"/>
      </w:pPr>
      <w:r>
        <w:t>Materiały niekompatybilne:</w:t>
      </w:r>
    </w:p>
    <w:p w:rsidR="003F6F92" w:rsidRDefault="00235573">
      <w:pPr>
        <w:pStyle w:val="SDStext"/>
        <w:widowControl/>
        <w:ind w:left="1133"/>
      </w:pPr>
      <w:r>
        <w:t>Żadne szczególne.</w:t>
      </w:r>
    </w:p>
    <w:p w:rsidR="003F6F92" w:rsidRDefault="00235573">
      <w:pPr>
        <w:pStyle w:val="SDStext"/>
        <w:widowControl/>
        <w:ind w:left="1133"/>
      </w:pPr>
      <w:r>
        <w:t>Instrukcje dotyczące pomieszczeń magazynowych:</w:t>
      </w:r>
    </w:p>
    <w:p w:rsidR="003F6F92" w:rsidRDefault="00235573">
      <w:pPr>
        <w:pStyle w:val="SDStext"/>
        <w:widowControl/>
        <w:ind w:left="1133"/>
      </w:pPr>
      <w:r>
        <w:t>Pomieszczenia z odpowiednią wentylacją.</w:t>
      </w:r>
    </w:p>
    <w:p w:rsidR="003F6F92" w:rsidRDefault="00235573">
      <w:pPr>
        <w:pStyle w:val="SDStext"/>
        <w:widowControl/>
        <w:ind w:left="566"/>
      </w:pPr>
      <w:r>
        <w:t>7.3. Szczególne końcowe zastosowania</w:t>
      </w:r>
    </w:p>
    <w:p w:rsidR="003F6F92" w:rsidRDefault="00235573">
      <w:pPr>
        <w:pStyle w:val="SDStext"/>
        <w:widowControl/>
        <w:ind w:left="1133"/>
      </w:pPr>
      <w:r>
        <w:t>Żadne szczególne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3" style="position:absolute;z-index:-251659264" from="-2.8pt,0" to="474.8pt,.05pt" o:allowincell="f" strokeweight=".25pt"/>
        </w:pict>
      </w:r>
      <w:r w:rsidR="00235573">
        <w:t>8. KONTROLA NARAŻENIA I ŚRODKI OCHRONY INDYWIDUALNEJ</w:t>
      </w:r>
    </w:p>
    <w:p w:rsidR="003F6F92" w:rsidRDefault="00235573">
      <w:pPr>
        <w:pStyle w:val="SDStext"/>
        <w:widowControl/>
        <w:ind w:left="566"/>
      </w:pPr>
      <w:r>
        <w:t>8.1. Parametry kontroli</w:t>
      </w:r>
    </w:p>
    <w:p w:rsidR="003F6F92" w:rsidRDefault="00235573">
      <w:pPr>
        <w:pStyle w:val="SDStext"/>
        <w:widowControl/>
        <w:ind w:left="1133"/>
      </w:pPr>
      <w:r>
        <w:t>Brak wartości dopuszczalnych stężeń w srodowisku pracy</w:t>
      </w:r>
    </w:p>
    <w:p w:rsidR="003F6F92" w:rsidRDefault="00235573">
      <w:pPr>
        <w:pStyle w:val="SDStext"/>
        <w:widowControl/>
        <w:ind w:left="566"/>
      </w:pPr>
      <w:r>
        <w:t>Wartości graniczne narażenia DNEL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Wartości graniczne narażenia PNEC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8.2. Kontrola narażenia</w:t>
      </w:r>
    </w:p>
    <w:p w:rsidR="003F6F92" w:rsidRDefault="00235573">
      <w:pPr>
        <w:pStyle w:val="SDStext"/>
        <w:widowControl/>
        <w:ind w:left="566"/>
      </w:pPr>
      <w:r>
        <w:t>Ochrona oczu:</w:t>
      </w:r>
    </w:p>
    <w:p w:rsidR="003F6F92" w:rsidRDefault="00235573">
      <w:pPr>
        <w:pStyle w:val="SDStext"/>
        <w:widowControl/>
        <w:ind w:left="1133"/>
      </w:pPr>
      <w:r>
        <w:t>Nie potrzebna przy normalnym użytkowaniu. W każdym przypadku postępować według dobrej praktyki.</w:t>
      </w:r>
    </w:p>
    <w:p w:rsidR="003F6F92" w:rsidRDefault="00235573">
      <w:pPr>
        <w:pStyle w:val="SDStext"/>
        <w:widowControl/>
        <w:ind w:left="566"/>
      </w:pPr>
      <w:r>
        <w:t>Ochrona skóry:</w:t>
      </w:r>
    </w:p>
    <w:p w:rsidR="003F6F92" w:rsidRDefault="00235573">
      <w:pPr>
        <w:pStyle w:val="SDStext"/>
        <w:widowControl/>
        <w:ind w:left="1133"/>
      </w:pPr>
      <w:r>
        <w:t>Nie są wymagane specjalne środki ostrożności przy normalnym użytkowaniu.</w:t>
      </w:r>
    </w:p>
    <w:p w:rsidR="003F6F92" w:rsidRDefault="00235573">
      <w:pPr>
        <w:pStyle w:val="SDStext"/>
        <w:widowControl/>
        <w:ind w:left="566"/>
      </w:pPr>
      <w:r>
        <w:t>Ochrona rąk:</w:t>
      </w:r>
    </w:p>
    <w:p w:rsidR="003F6F92" w:rsidRDefault="00235573">
      <w:pPr>
        <w:pStyle w:val="SDStext"/>
        <w:widowControl/>
        <w:ind w:left="1133"/>
      </w:pPr>
      <w:r>
        <w:t>Nie potrzebna przy normalnym użytkowaniu.</w:t>
      </w:r>
    </w:p>
    <w:p w:rsidR="003F6F92" w:rsidRDefault="00235573">
      <w:pPr>
        <w:pStyle w:val="SDStext"/>
        <w:widowControl/>
        <w:ind w:left="566"/>
      </w:pPr>
      <w:r>
        <w:t>ochrona dróg oddechowych:</w:t>
      </w:r>
    </w:p>
    <w:p w:rsidR="003F6F92" w:rsidRDefault="00235573">
      <w:pPr>
        <w:pStyle w:val="SDStext"/>
        <w:widowControl/>
        <w:ind w:left="1133"/>
      </w:pPr>
      <w:r>
        <w:t>Nie potrzebna przy normalnym użytkowaniu.</w:t>
      </w:r>
    </w:p>
    <w:p w:rsidR="003F6F92" w:rsidRDefault="00235573">
      <w:pPr>
        <w:pStyle w:val="SDStext"/>
        <w:widowControl/>
        <w:ind w:left="566"/>
      </w:pPr>
      <w:r>
        <w:t>Zagrożenia termiczne: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235573">
      <w:pPr>
        <w:pStyle w:val="SDStext"/>
        <w:widowControl/>
        <w:ind w:left="566"/>
      </w:pPr>
      <w:r>
        <w:t>Kontrola narażenia środowiska: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4" style="position:absolute;z-index:-251658240" from="-2.8pt,0" to="474.8pt,.05pt" o:allowincell="f" strokeweight=".25pt"/>
        </w:pict>
      </w:r>
      <w:r w:rsidR="00235573">
        <w:t>9. WŁASNOŚCI FIZYKOCHEMICZNE:</w:t>
      </w:r>
    </w:p>
    <w:p w:rsidR="003F6F92" w:rsidRDefault="00235573">
      <w:pPr>
        <w:pStyle w:val="SDStext"/>
        <w:widowControl/>
        <w:ind w:left="566"/>
      </w:pPr>
      <w:r>
        <w:t>9.1. Informacje na temat podstawowych właściwości fizycznych i chemicznych</w:t>
      </w:r>
    </w:p>
    <w:p w:rsidR="003F6F92" w:rsidRDefault="00235573">
      <w:pPr>
        <w:pStyle w:val="SDStext"/>
        <w:widowControl/>
        <w:ind w:left="3968" w:hanging="2834"/>
      </w:pPr>
      <w:r>
        <w:t>Wygląd i zapach:</w:t>
      </w:r>
      <w:r>
        <w:tab/>
        <w:t>NIEBIESKI ŻEL</w:t>
      </w:r>
    </w:p>
    <w:p w:rsidR="003F6F92" w:rsidRDefault="00235573">
      <w:pPr>
        <w:pStyle w:val="SDStext"/>
        <w:widowControl/>
        <w:ind w:left="3968" w:hanging="2834"/>
      </w:pPr>
      <w:r>
        <w:t>Zapach:</w:t>
      </w:r>
      <w:r>
        <w:tab/>
        <w:t>BEZ ZAPACHU</w:t>
      </w:r>
    </w:p>
    <w:p w:rsidR="003F6F92" w:rsidRDefault="00235573">
      <w:pPr>
        <w:pStyle w:val="SDStext"/>
        <w:widowControl/>
        <w:ind w:left="3968" w:hanging="2834"/>
      </w:pPr>
      <w:r>
        <w:t>Próg zapachu: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Przy pH:</w:t>
      </w:r>
      <w:r>
        <w:tab/>
        <w:t>6 - 7</w:t>
      </w:r>
    </w:p>
    <w:p w:rsidR="003F6F92" w:rsidRDefault="00235573">
      <w:pPr>
        <w:pStyle w:val="SDStext"/>
        <w:widowControl/>
        <w:ind w:left="3968" w:hanging="2834"/>
      </w:pPr>
      <w:r>
        <w:t>Temperatura topnienia/krzepnięcia: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Początkowa temperatura wrzenia i zakres temperatur wrzenia: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Palność ciała stałego/gazu: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Górna / dolna granica palności lub wybuchowości: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Gęstość par: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Temperatura zapłonu:</w:t>
      </w:r>
      <w:r>
        <w:tab/>
        <w:t>NIEPALNY ° C</w:t>
      </w:r>
    </w:p>
    <w:p w:rsidR="003F6F92" w:rsidRDefault="00235573">
      <w:pPr>
        <w:pStyle w:val="SDStext"/>
        <w:widowControl/>
        <w:ind w:left="3968" w:hanging="2834"/>
      </w:pPr>
      <w:r>
        <w:t>Szybkość parowania: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lastRenderedPageBreak/>
        <w:t>Prężność par: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Gęstość względna:</w:t>
      </w:r>
      <w:r>
        <w:tab/>
        <w:t>0,95 - 1.05</w:t>
      </w:r>
    </w:p>
    <w:p w:rsidR="003F6F92" w:rsidRDefault="00235573">
      <w:pPr>
        <w:pStyle w:val="SDStext"/>
        <w:widowControl/>
        <w:ind w:left="3968" w:hanging="2834"/>
      </w:pPr>
      <w:r>
        <w:t>Rozpuszczalność w wodzie:</w:t>
      </w:r>
      <w:r>
        <w:tab/>
        <w:t>ROZPUSZCZALNY W WODZIE</w:t>
      </w:r>
    </w:p>
    <w:p w:rsidR="003F6F92" w:rsidRDefault="00235573">
      <w:pPr>
        <w:pStyle w:val="SDStext"/>
        <w:widowControl/>
        <w:ind w:left="3968" w:hanging="2834"/>
      </w:pPr>
      <w:r>
        <w:t>Rozpuszczalność w tłuszczach:</w:t>
      </w:r>
      <w:r>
        <w:tab/>
        <w:t>NIEROZPUSZCZALNY</w:t>
      </w:r>
    </w:p>
    <w:p w:rsidR="003F6F92" w:rsidRDefault="00235573">
      <w:pPr>
        <w:pStyle w:val="SDStext"/>
        <w:widowControl/>
        <w:ind w:left="3968" w:hanging="2834"/>
      </w:pPr>
      <w:r>
        <w:t>Współczynnik podziału n-oktanol/woda: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Temperatura samozapłonu: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Temperatura rozkładu: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Lepkość: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Właściwości wybuchowe: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Właściwości utleniające:</w:t>
      </w:r>
      <w:r>
        <w:tab/>
        <w:t>ND</w:t>
      </w:r>
    </w:p>
    <w:p w:rsidR="003F6F92" w:rsidRDefault="00235573">
      <w:pPr>
        <w:pStyle w:val="SDStext"/>
        <w:widowControl/>
        <w:ind w:left="566"/>
      </w:pPr>
      <w:r>
        <w:t>9.2. Pozostałe informacje</w:t>
      </w:r>
    </w:p>
    <w:p w:rsidR="003F6F92" w:rsidRDefault="00235573">
      <w:pPr>
        <w:pStyle w:val="SDStext"/>
        <w:widowControl/>
        <w:ind w:left="3968" w:hanging="2834"/>
      </w:pPr>
      <w:r>
        <w:t>Zdolność mieszania się: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Rozpuszczalność w tłuszczach: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Przewodnictwo:</w:t>
      </w:r>
      <w:r>
        <w:tab/>
        <w:t>ND</w:t>
      </w:r>
    </w:p>
    <w:p w:rsidR="003F6F92" w:rsidRDefault="00235573">
      <w:pPr>
        <w:pStyle w:val="SDStext"/>
        <w:widowControl/>
        <w:ind w:left="3968" w:hanging="2834"/>
      </w:pPr>
      <w:r>
        <w:t>Odpowiednie właściwości grup substancji</w:t>
      </w:r>
      <w:r>
        <w:tab/>
        <w:t>ND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5" style="position:absolute;z-index:-251657216" from="-2.8pt,0" to="474.8pt,.05pt" o:allowincell="f" strokeweight=".25pt"/>
        </w:pict>
      </w:r>
      <w:r w:rsidR="00235573">
        <w:t>10. STABILNOŚĆ I REAKTYWNOŚĆ</w:t>
      </w:r>
    </w:p>
    <w:p w:rsidR="003F6F92" w:rsidRDefault="00235573">
      <w:pPr>
        <w:pStyle w:val="SDStext"/>
        <w:widowControl/>
        <w:ind w:left="566"/>
      </w:pPr>
      <w:r>
        <w:t>10.1. Reaktywność</w:t>
      </w:r>
    </w:p>
    <w:p w:rsidR="003F6F92" w:rsidRDefault="00235573">
      <w:pPr>
        <w:pStyle w:val="SDStext"/>
        <w:widowControl/>
        <w:ind w:left="1133"/>
      </w:pPr>
      <w:r>
        <w:t>Stabilny w warunkach normalnych.</w:t>
      </w:r>
    </w:p>
    <w:p w:rsidR="003F6F92" w:rsidRDefault="00235573">
      <w:pPr>
        <w:pStyle w:val="SDStext"/>
        <w:widowControl/>
        <w:ind w:left="566"/>
      </w:pPr>
      <w:r>
        <w:t>10.2. Stabilność chemiczna</w:t>
      </w:r>
    </w:p>
    <w:p w:rsidR="003F6F92" w:rsidRDefault="00235573">
      <w:pPr>
        <w:pStyle w:val="SDStext"/>
        <w:widowControl/>
        <w:ind w:left="1133"/>
      </w:pPr>
      <w:r>
        <w:t>Stabilny w warunkach normalnych.</w:t>
      </w:r>
    </w:p>
    <w:p w:rsidR="003F6F92" w:rsidRDefault="00235573">
      <w:pPr>
        <w:pStyle w:val="SDStext"/>
        <w:widowControl/>
        <w:ind w:left="566"/>
      </w:pPr>
      <w:r>
        <w:t>10.3. Możliwość występowania niebezpiecznych reakcji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235573">
      <w:pPr>
        <w:pStyle w:val="SDStext"/>
        <w:widowControl/>
        <w:ind w:left="566"/>
      </w:pPr>
      <w:r>
        <w:t>10.4. Warunki, których należy unikać</w:t>
      </w:r>
    </w:p>
    <w:p w:rsidR="003F6F92" w:rsidRDefault="00235573">
      <w:pPr>
        <w:pStyle w:val="SDStext"/>
        <w:widowControl/>
        <w:ind w:left="1133"/>
      </w:pPr>
      <w:r>
        <w:t>Stabilny w warunkach normalnych.</w:t>
      </w:r>
    </w:p>
    <w:p w:rsidR="003F6F92" w:rsidRDefault="00235573">
      <w:pPr>
        <w:pStyle w:val="SDStext"/>
        <w:widowControl/>
        <w:ind w:left="566"/>
      </w:pPr>
      <w:r>
        <w:t>10.5. Materiały niezgodne</w:t>
      </w:r>
    </w:p>
    <w:p w:rsidR="003F6F92" w:rsidRDefault="00235573">
      <w:pPr>
        <w:pStyle w:val="SDStext"/>
        <w:widowControl/>
        <w:ind w:left="1133"/>
      </w:pPr>
      <w:r>
        <w:t>Żadne szczególne.</w:t>
      </w:r>
    </w:p>
    <w:p w:rsidR="003F6F92" w:rsidRDefault="00235573">
      <w:pPr>
        <w:pStyle w:val="SDStext"/>
        <w:widowControl/>
        <w:ind w:left="566"/>
      </w:pPr>
      <w:r>
        <w:t>10.6. Niebezpieczne produkty rozkładu</w:t>
      </w:r>
    </w:p>
    <w:p w:rsidR="003F6F92" w:rsidRDefault="00235573">
      <w:pPr>
        <w:pStyle w:val="SDStext"/>
        <w:widowControl/>
        <w:ind w:left="1133"/>
      </w:pPr>
      <w:r>
        <w:t>Brak.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6" style="position:absolute;z-index:-251656192" from="-2.8pt,0" to="474.8pt,.05pt" o:allowincell="f" strokeweight=".25pt"/>
        </w:pict>
      </w:r>
      <w:r w:rsidR="00235573">
        <w:t>11. INFORMACJE TOKSYKOLOGICZNE</w:t>
      </w:r>
    </w:p>
    <w:p w:rsidR="003F6F92" w:rsidRDefault="00235573">
      <w:pPr>
        <w:pStyle w:val="SDStext"/>
        <w:widowControl/>
        <w:ind w:left="566"/>
      </w:pPr>
      <w:r>
        <w:t>11.1. Informacje dotyczące skutków toksykologicznych</w:t>
      </w:r>
    </w:p>
    <w:p w:rsidR="003F6F92" w:rsidRDefault="00235573">
      <w:pPr>
        <w:pStyle w:val="SDStext"/>
        <w:widowControl/>
        <w:ind w:left="566"/>
      </w:pPr>
      <w:r>
        <w:t>Informacje toksykologiczne dla mieszaniny: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Informacje toksykologiczne dla głównych substancji znajdujących się w mieszaninie: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Jeśli nie jest inaczej określone, informacje wymagane w rozporządzeniu 453/2010/WE, wymienione poniżej należy uznać za ND:</w:t>
      </w:r>
    </w:p>
    <w:p w:rsidR="003F6F92" w:rsidRDefault="00235573">
      <w:pPr>
        <w:pStyle w:val="SDStext"/>
        <w:widowControl/>
        <w:ind w:left="1133"/>
      </w:pPr>
      <w:r>
        <w:t>a) Toksyczność ostra;</w:t>
      </w:r>
    </w:p>
    <w:p w:rsidR="003F6F92" w:rsidRDefault="00235573">
      <w:pPr>
        <w:pStyle w:val="SDStext"/>
        <w:widowControl/>
        <w:ind w:left="1133"/>
      </w:pPr>
      <w:r>
        <w:t>b) działanie żrące/drażniące na skórę;</w:t>
      </w:r>
    </w:p>
    <w:p w:rsidR="003F6F92" w:rsidRDefault="00235573">
      <w:pPr>
        <w:pStyle w:val="SDStext"/>
        <w:widowControl/>
        <w:ind w:left="1133"/>
      </w:pPr>
      <w:r>
        <w:t>c) poważne uszkodzenie oczu/działanie drażniące;</w:t>
      </w:r>
    </w:p>
    <w:p w:rsidR="003F6F92" w:rsidRDefault="00235573">
      <w:pPr>
        <w:pStyle w:val="SDStext"/>
        <w:widowControl/>
        <w:ind w:left="1133"/>
      </w:pPr>
      <w:r>
        <w:t>d) podrażnienie układu oddechowego lub skóry;</w:t>
      </w:r>
    </w:p>
    <w:p w:rsidR="003F6F92" w:rsidRDefault="00235573">
      <w:pPr>
        <w:pStyle w:val="SDStext"/>
        <w:widowControl/>
        <w:ind w:left="1133"/>
      </w:pPr>
      <w:r>
        <w:t>e) mutagenność komórki drobnoustroju;</w:t>
      </w:r>
    </w:p>
    <w:p w:rsidR="003F6F92" w:rsidRDefault="00235573">
      <w:pPr>
        <w:pStyle w:val="SDStext"/>
        <w:widowControl/>
        <w:ind w:left="1133"/>
      </w:pPr>
      <w:r>
        <w:t>f) rakotwórczość;</w:t>
      </w:r>
    </w:p>
    <w:p w:rsidR="003F6F92" w:rsidRDefault="00235573">
      <w:pPr>
        <w:pStyle w:val="SDStext"/>
        <w:widowControl/>
        <w:ind w:left="1133"/>
      </w:pPr>
      <w:r>
        <w:t>g) szkodliwe działanie na rozrodczość;</w:t>
      </w:r>
    </w:p>
    <w:p w:rsidR="003F6F92" w:rsidRDefault="00235573">
      <w:pPr>
        <w:pStyle w:val="SDStext"/>
        <w:widowControl/>
        <w:ind w:left="1133"/>
      </w:pPr>
      <w:r>
        <w:t>h) STOT narażenie jednorazowe;</w:t>
      </w:r>
    </w:p>
    <w:p w:rsidR="003F6F92" w:rsidRDefault="00235573">
      <w:pPr>
        <w:pStyle w:val="SDStext"/>
        <w:widowControl/>
        <w:ind w:left="1133"/>
      </w:pPr>
      <w:r>
        <w:t>i) STOT-narażenie powtarzające się;</w:t>
      </w:r>
    </w:p>
    <w:p w:rsidR="003F6F92" w:rsidRDefault="00235573">
      <w:pPr>
        <w:pStyle w:val="SDStext"/>
        <w:widowControl/>
        <w:ind w:left="1133"/>
      </w:pPr>
      <w:r>
        <w:t>j) zagrożenie spowodowane wdychaniem.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7" style="position:absolute;z-index:-251655168" from="-2.8pt,0" to="474.8pt,.05pt" o:allowincell="f" strokeweight=".25pt"/>
        </w:pict>
      </w:r>
      <w:r w:rsidR="00235573">
        <w:t>12. INFORMACJE EKOLOGICZNE</w:t>
      </w:r>
    </w:p>
    <w:p w:rsidR="003F6F92" w:rsidRDefault="00235573">
      <w:pPr>
        <w:pStyle w:val="SDStext"/>
        <w:widowControl/>
        <w:ind w:left="566"/>
      </w:pPr>
      <w:r>
        <w:t>12.1. Toksyczność</w:t>
      </w:r>
    </w:p>
    <w:p w:rsidR="003F6F92" w:rsidRDefault="00235573">
      <w:pPr>
        <w:pStyle w:val="SDStext"/>
        <w:widowControl/>
        <w:ind w:left="1133"/>
      </w:pPr>
      <w:r>
        <w:t>Stosować dobre praktyki pracy, tak aby produkt nie został uwolniony do środowiska.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12.2. Trwałość i zdolność do rozkładu</w:t>
      </w:r>
    </w:p>
    <w:p w:rsidR="003F6F92" w:rsidRDefault="00235573">
      <w:pPr>
        <w:pStyle w:val="SDStext"/>
        <w:widowControl/>
        <w:ind w:left="1133"/>
      </w:pPr>
      <w:r>
        <w:lastRenderedPageBreak/>
        <w:t>ND</w:t>
      </w:r>
    </w:p>
    <w:p w:rsidR="003F6F92" w:rsidRDefault="00235573">
      <w:pPr>
        <w:pStyle w:val="SDStext"/>
        <w:widowControl/>
        <w:ind w:left="566"/>
      </w:pPr>
      <w:r>
        <w:t>12.3. Zdolność do bioakumulacji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12.4. Mobilność w glebie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12.5. Wyniki oceny właściwości PBT i vPvB</w:t>
      </w:r>
    </w:p>
    <w:p w:rsidR="003F6F92" w:rsidRDefault="00235573">
      <w:pPr>
        <w:pStyle w:val="SDStext"/>
        <w:widowControl/>
        <w:ind w:left="1133"/>
      </w:pPr>
      <w:r>
        <w:t>vPvB Substancje: Brak - Substancje PBT: Brak</w:t>
      </w:r>
    </w:p>
    <w:p w:rsidR="003F6F92" w:rsidRDefault="00235573">
      <w:pPr>
        <w:pStyle w:val="SDStext"/>
        <w:widowControl/>
        <w:ind w:left="566"/>
      </w:pPr>
      <w:r>
        <w:t>12.6. Inne działania niepożądane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8" style="position:absolute;z-index:-251654144" from="-2.8pt,0" to="474.8pt,.05pt" o:allowincell="f" strokeweight=".25pt"/>
        </w:pict>
      </w:r>
      <w:r w:rsidR="00235573">
        <w:t>13. POSTĘPOWANIE Z ODPADAMI</w:t>
      </w:r>
    </w:p>
    <w:p w:rsidR="003F6F92" w:rsidRDefault="00235573">
      <w:pPr>
        <w:pStyle w:val="SDStext"/>
        <w:widowControl/>
        <w:ind w:left="566"/>
      </w:pPr>
      <w:r>
        <w:t>13.1. Metody unieszkodliwiania odpadów</w:t>
      </w:r>
    </w:p>
    <w:p w:rsidR="003F6F92" w:rsidRDefault="00235573">
      <w:pPr>
        <w:pStyle w:val="SDStext"/>
        <w:widowControl/>
        <w:ind w:left="1133"/>
      </w:pPr>
      <w:r>
        <w:t>Jeśli to możliwe poddawać odzyskowi. Podczas tego procesu postępować zgodnie z obowiązującymi lokalnymi i krajowymi przepisami.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39" style="position:absolute;z-index:-251653120" from="-2.8pt,0" to="474.8pt,.05pt" o:allowincell="f" strokeweight=".25pt"/>
        </w:pict>
      </w:r>
      <w:r w:rsidR="00235573">
        <w:t>14. INFORMACJE DOTYCZĄCE TRANSPORTU</w:t>
      </w:r>
    </w:p>
    <w:p w:rsidR="003F6F92" w:rsidRDefault="00235573">
      <w:pPr>
        <w:pStyle w:val="SDStext"/>
        <w:widowControl/>
        <w:ind w:left="566"/>
      </w:pPr>
      <w:r>
        <w:t>14.1. Numer ONZ:</w:t>
      </w:r>
    </w:p>
    <w:p w:rsidR="003F6F92" w:rsidRDefault="00235573">
      <w:pPr>
        <w:pStyle w:val="SDStext"/>
        <w:widowControl/>
        <w:ind w:left="1133"/>
      </w:pPr>
      <w:r>
        <w:t>Nie zaklasyfikowany jako niebezpieczny w rozumieniu przepisów transportowych.</w:t>
      </w:r>
    </w:p>
    <w:p w:rsidR="003F6F92" w:rsidRDefault="00235573">
      <w:pPr>
        <w:pStyle w:val="SDStext"/>
        <w:widowControl/>
        <w:ind w:left="566"/>
      </w:pPr>
      <w:r>
        <w:t>14.2. Prawidłowa nazwa przewozowa ONZ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 xml:space="preserve">14.3. Klasy zagrożenia w transporcie 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14.4. Grupa pakowania: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14.5. Zagrożenie środowiska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14.6. Szczególne środki ostrożności dla użytkowników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566"/>
      </w:pPr>
      <w:r>
        <w:t>14.7. Transport luzem zgodnie z Załącznikiem II do konwencji MARPOL 73/78 i Kodeksem IBC</w:t>
      </w:r>
    </w:p>
    <w:p w:rsidR="003F6F92" w:rsidRDefault="00235573">
      <w:pPr>
        <w:pStyle w:val="SDStext"/>
        <w:widowControl/>
        <w:ind w:left="1133"/>
      </w:pPr>
      <w:r>
        <w:t>ND</w:t>
      </w:r>
    </w:p>
    <w:p w:rsidR="003F6F92" w:rsidRDefault="00235573">
      <w:pPr>
        <w:pStyle w:val="SDStext"/>
        <w:widowControl/>
        <w:ind w:left="1133"/>
      </w:pPr>
      <w:r>
        <w:t>BEZ OGRANICZEŃ. DOZWOLONY TRANSPORT POWIETRZNY I ZGODNIE Z NORMAMI ICAO (DOC 9284 AN/905) - BEZ OGRANICZEŃ.</w:t>
      </w:r>
    </w:p>
    <w:p w:rsidR="003F6F92" w:rsidRDefault="00D72047">
      <w:pPr>
        <w:pStyle w:val="Sectiontitle"/>
        <w:widowControl/>
      </w:pPr>
      <w:r>
        <w:pict>
          <v:line id="_x0000_s1040" style="position:absolute;z-index:-251652096" from="-2.8pt,0" to="474.8pt,.05pt" o:allowincell="f" strokeweight=".25pt"/>
        </w:pict>
      </w:r>
      <w:r w:rsidR="00235573">
        <w:t>15. INFORMACJE DOTYCZĄCE PRZEPISÓW PRAWNYCH</w:t>
      </w:r>
    </w:p>
    <w:p w:rsidR="003F6F92" w:rsidRDefault="00235573">
      <w:pPr>
        <w:pStyle w:val="SDStext"/>
        <w:widowControl/>
        <w:ind w:left="566"/>
      </w:pPr>
      <w:r>
        <w:t>15.1. Przepisy prawne dotyczące bezpieczeństwa, zdrowia i ochrony środowiska specyficzne dla substancji i mieszaniny</w:t>
      </w: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3F6F92">
      <w:pPr>
        <w:pStyle w:val="SDStext"/>
        <w:widowControl/>
        <w:ind w:left="1133"/>
      </w:pPr>
    </w:p>
    <w:p w:rsidR="003F6F92" w:rsidRDefault="00235573">
      <w:pPr>
        <w:pStyle w:val="SDStext"/>
        <w:widowControl/>
        <w:ind w:left="566"/>
      </w:pPr>
      <w:r>
        <w:t>Ograniczenia związane z produktem lub zawartymi w nim substancjami zgodnie z Załącznikiem XVII do rozporządzenia (WE) 1907/2006 (REACH) wraz z późniejszymi zmianami:</w:t>
      </w:r>
    </w:p>
    <w:p w:rsidR="003F6F92" w:rsidRDefault="00235573">
      <w:pPr>
        <w:pStyle w:val="SDStext"/>
        <w:widowControl/>
        <w:ind w:left="1133"/>
      </w:pPr>
      <w:r>
        <w:t>Brak</w:t>
      </w:r>
    </w:p>
    <w:p w:rsidR="003F6F92" w:rsidRDefault="00235573">
      <w:pPr>
        <w:pStyle w:val="SDStext"/>
        <w:widowControl/>
        <w:ind w:left="566"/>
      </w:pPr>
      <w:r>
        <w:t>W stosownych przypadkach odnieść się do następujących przepisów:</w:t>
      </w:r>
    </w:p>
    <w:p w:rsidR="003F6F92" w:rsidRDefault="00235573">
      <w:pPr>
        <w:pStyle w:val="SDStext"/>
        <w:widowControl/>
        <w:ind w:left="1133"/>
      </w:pPr>
      <w:r>
        <w:t>Dyrektywa 2003/105/CE ("Działania związane z ryzykiem poważnych wypadków") z późniejszymi zmianami.</w:t>
      </w:r>
    </w:p>
    <w:p w:rsidR="003F6F92" w:rsidRDefault="00235573">
      <w:pPr>
        <w:pStyle w:val="SDStext"/>
        <w:widowControl/>
        <w:ind w:left="1133"/>
      </w:pPr>
      <w:r>
        <w:t>Rozporządzenie (WE) nr 648/2004 (detergenty).</w:t>
      </w:r>
    </w:p>
    <w:p w:rsidR="003F6F92" w:rsidRDefault="00235573">
      <w:pPr>
        <w:pStyle w:val="SDStext"/>
        <w:widowControl/>
        <w:ind w:left="1133"/>
      </w:pPr>
      <w:r>
        <w:t>1999/13/WE (dyrektywa VOC)</w:t>
      </w:r>
    </w:p>
    <w:p w:rsidR="003F6F92" w:rsidRDefault="003F6F92">
      <w:pPr>
        <w:pStyle w:val="SDStext"/>
        <w:widowControl/>
        <w:ind w:left="566"/>
      </w:pPr>
    </w:p>
    <w:p w:rsidR="003F6F92" w:rsidRDefault="00235573">
      <w:pPr>
        <w:pStyle w:val="SDStext"/>
        <w:widowControl/>
        <w:ind w:left="566"/>
      </w:pPr>
      <w:r>
        <w:lastRenderedPageBreak/>
        <w:t>15.2. Ocena bezpieczeństwa chemicznego</w:t>
      </w:r>
    </w:p>
    <w:p w:rsidR="003F6F92" w:rsidRDefault="00235573">
      <w:pPr>
        <w:pStyle w:val="SDStext"/>
        <w:widowControl/>
        <w:ind w:left="1133"/>
      </w:pPr>
      <w:r>
        <w:t>Nie</w:t>
      </w:r>
    </w:p>
    <w:p w:rsidR="003F6F92" w:rsidRDefault="003F6F92">
      <w:pPr>
        <w:pStyle w:val="SDStext"/>
        <w:widowControl/>
        <w:ind w:left="1133"/>
      </w:pPr>
    </w:p>
    <w:p w:rsidR="003F6F92" w:rsidRDefault="00D72047">
      <w:pPr>
        <w:pStyle w:val="Sectiontitle"/>
        <w:widowControl/>
      </w:pPr>
      <w:r>
        <w:pict>
          <v:line id="_x0000_s1041" style="position:absolute;z-index:-251651072" from="-2.8pt,0" to="474.8pt,.05pt" o:allowincell="f" strokeweight=".25pt"/>
        </w:pict>
      </w:r>
      <w:r w:rsidR="00235573">
        <w:t>16. POZOSTAŁE INFORMACJE</w:t>
      </w:r>
    </w:p>
    <w:p w:rsidR="003F6F92" w:rsidRDefault="003F6F92">
      <w:pPr>
        <w:pStyle w:val="SDStext"/>
        <w:widowControl/>
        <w:ind w:left="566"/>
      </w:pPr>
    </w:p>
    <w:p w:rsidR="003F6F92" w:rsidRDefault="00235573">
      <w:pPr>
        <w:pStyle w:val="SDStext"/>
        <w:widowControl/>
        <w:ind w:left="566"/>
      </w:pPr>
      <w:r>
        <w:t>Niniejszy dokument został przygotowany przez kompetentną osobę, która otrzymała odpowiednie przeszkolenie.</w:t>
      </w:r>
    </w:p>
    <w:p w:rsidR="003F6F92" w:rsidRDefault="00235573">
      <w:pPr>
        <w:pStyle w:val="SDStext"/>
        <w:widowControl/>
        <w:ind w:left="566"/>
      </w:pPr>
      <w:r>
        <w:t>Główne źródła bibliograficzne:</w:t>
      </w:r>
    </w:p>
    <w:p w:rsidR="003F6F92" w:rsidRDefault="00235573">
      <w:pPr>
        <w:pStyle w:val="SDStext"/>
        <w:widowControl/>
        <w:ind w:left="1133"/>
      </w:pPr>
      <w:r>
        <w:t>ECDIN - Environmental Chemicals Data and Information Network - Wspólne Centrum Badawcze, Komisja Wspólnot Europejskich</w:t>
      </w:r>
    </w:p>
    <w:p w:rsidR="003F6F92" w:rsidRDefault="00235573">
      <w:pPr>
        <w:pStyle w:val="SDStext"/>
        <w:widowControl/>
        <w:ind w:left="1133"/>
      </w:pPr>
      <w:r>
        <w:t>SAX - NIEBEZPIECZNE WŁAŚCIWOŚCI MATERIAŁÓW PRZEMYSŁOWYCH - wydanie osiemnaste - Van Nostrand Reinold</w:t>
      </w:r>
    </w:p>
    <w:p w:rsidR="003F6F92" w:rsidRDefault="00235573">
      <w:pPr>
        <w:pStyle w:val="SDStext"/>
        <w:widowControl/>
        <w:ind w:left="1133"/>
      </w:pPr>
      <w:r>
        <w:t>CCNL - Załącznik nr 1</w:t>
      </w:r>
    </w:p>
    <w:p w:rsidR="003F6F92" w:rsidRDefault="00235573">
      <w:pPr>
        <w:pStyle w:val="SDStext"/>
        <w:widowControl/>
        <w:ind w:left="1133"/>
      </w:pPr>
      <w:r>
        <w:t>Po konsultacji wstawić dalsze źródła bibliograficzne</w:t>
      </w:r>
    </w:p>
    <w:p w:rsidR="003F6F92" w:rsidRDefault="00235573">
      <w:pPr>
        <w:pStyle w:val="SDStext"/>
        <w:widowControl/>
        <w:ind w:left="566"/>
      </w:pPr>
      <w:r>
        <w:t>Informacje zawarte w niniejszym dokumencie są oparte na stanie wiedzy, na dzień podany powyżej. Odnoszą się wyłącznie do wskazanego produktu i nie stanowią gwarancji szczególnej jakości.</w:t>
      </w:r>
    </w:p>
    <w:p w:rsidR="003F6F92" w:rsidRDefault="00235573">
      <w:pPr>
        <w:pStyle w:val="SDStext"/>
        <w:widowControl/>
        <w:ind w:left="566"/>
      </w:pPr>
      <w:r>
        <w:t>Obowiązkiem użytkownika jest upewnienie się, że informacje są odpowiednie i kompletne w odniesieniu do konkretnych zastosowań produktu.</w:t>
      </w:r>
    </w:p>
    <w:p w:rsidR="003F6F92" w:rsidRDefault="00235573">
      <w:pPr>
        <w:pStyle w:val="SDStext"/>
        <w:widowControl/>
        <w:ind w:left="566"/>
      </w:pPr>
      <w:r>
        <w:t>Niniejsza Karta charakterystyki produktu unieważnia i zastępuje wszystkie poprzednie wydania.</w:t>
      </w:r>
    </w:p>
    <w:p w:rsidR="003F6F92" w:rsidRDefault="003F6F92">
      <w:pPr>
        <w:pStyle w:val="SDStext"/>
        <w:widowControl/>
        <w:ind w:left="566"/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Umowa europejska dotycząca międzynarodowego przewozu drogowego towarów niebezpiecznych.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Chemical Abstracts Service (oddział Amerykańskiego Towarzystwa Chemicznego).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Klasyfikacji, oznakowanie, opakowanie.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Pochodny poziom niepowodujący zmian.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Europejski wykaz istniejących substancji chemicznych.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Rozporządzenie w sprawie substancji niebezpiecznych, Niemcy.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Globalnie zharmonizowany system klasyfikacji i oznakowania chemikaliów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Zrzeszenie Przewoźników Powietrznych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Przepisy dotyczące transportu materiałów niebezpiecznych w międzynarodowym transporcie lotniczym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Organizacja Międzynarodowego Lotnictwa Cywilnego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Techniczne instrukcje bezpieczeństwa materiałów niebezpiecznych w transporcie lotniczym wydane przez Organizację Międzynarodowego Lotnictwa Cywilnego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Międzynarodowy Kodeks Ładunków Niebezpiecznych.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nazewnictwo Składników kosmetycznych.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Wskaźnik wybuchowości.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Stężenie śmiertelne dla 50 procent populacji badanej.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Dawka śmiertelna dla 50 procent populacji badanej.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Długotrwałe narażenie.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Przewidywane stężenie niewywołujące skutków.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Rozporządzenia w sprawie międzynarodowego przewozu towarów niebezpiecznych koleją.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Krótkotrwałe narażenie.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NDSCH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Najwyższe dopuszczalne stężenie chwilowe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Działanie toksyczne na narządy docelowe.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 dla średniej ważonej w czasie 8 godzin. (Norma ACGIH).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Niemiecka klasa zagrożenia dla środowiska wodnego.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</w:t>
            </w:r>
          </w:p>
        </w:tc>
      </w:tr>
      <w:tr w:rsidR="003F6F92" w:rsidRPr="006D4B1E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F92" w:rsidRPr="006D4B1E" w:rsidRDefault="0023557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N.D.:</w:t>
            </w:r>
          </w:p>
        </w:tc>
      </w:tr>
    </w:tbl>
    <w:p w:rsidR="003F6F92" w:rsidRDefault="003F6F92">
      <w:pPr>
        <w:pStyle w:val="Reportheader"/>
        <w:widowControl/>
        <w:rPr>
          <w:sz w:val="20"/>
          <w:szCs w:val="20"/>
        </w:rPr>
      </w:pPr>
    </w:p>
    <w:sectPr w:rsidR="003F6F92">
      <w:headerReference w:type="default" r:id="rId6"/>
      <w:footerReference w:type="default" r:id="rId7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73" w:rsidRDefault="00235573">
      <w:pPr>
        <w:spacing w:after="0" w:line="240" w:lineRule="auto"/>
      </w:pPr>
      <w:r>
        <w:separator/>
      </w:r>
    </w:p>
  </w:endnote>
  <w:endnote w:type="continuationSeparator" w:id="0">
    <w:p w:rsidR="00235573" w:rsidRDefault="0023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92" w:rsidRDefault="00235573">
    <w:pPr>
      <w:pStyle w:val="SDSfooter"/>
    </w:pPr>
    <w:r>
      <w:t>9029792240/1</w:t>
    </w:r>
  </w:p>
  <w:p w:rsidR="003F6F92" w:rsidRDefault="00235573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</w:rPr>
      <w:t xml:space="preserve">Strona   z </w:t>
    </w:r>
    <w:r>
      <w:rPr>
        <w:color w:val="008000"/>
        <w:sz w:val="20"/>
      </w:rPr>
      <w:fldChar w:fldCharType="begin"/>
    </w:r>
    <w:r>
      <w:rPr>
        <w:color w:val="008000"/>
        <w:sz w:val="20"/>
      </w:rPr>
      <w:instrText xml:space="preserve"> NUMPAGES   MERGEFORMAT </w:instrText>
    </w:r>
    <w:r>
      <w:rPr>
        <w:color w:val="008000"/>
        <w:sz w:val="20"/>
      </w:rPr>
      <w:fldChar w:fldCharType="separate"/>
    </w:r>
    <w:r w:rsidR="00D72047">
      <w:rPr>
        <w:color w:val="008000"/>
        <w:sz w:val="20"/>
      </w:rPr>
      <w:t>7</w:t>
    </w:r>
    <w:r>
      <w:rPr>
        <w:color w:val="0080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73" w:rsidRDefault="00235573">
      <w:pPr>
        <w:spacing w:after="0" w:line="240" w:lineRule="auto"/>
      </w:pPr>
      <w:r>
        <w:separator/>
      </w:r>
    </w:p>
  </w:footnote>
  <w:footnote w:type="continuationSeparator" w:id="0">
    <w:p w:rsidR="00235573" w:rsidRDefault="0023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92" w:rsidRDefault="00235573">
    <w:pPr>
      <w:pStyle w:val="SDStitle"/>
    </w:pPr>
    <w:r>
      <w:t>Karta Charakterystyki Substancji Niebezpiecznej</w:t>
    </w:r>
  </w:p>
  <w:p w:rsidR="003F6F92" w:rsidRDefault="00D72047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drawing>
        <wp:inline distT="0" distB="0" distL="0" distR="0">
          <wp:extent cx="838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6F92" w:rsidRDefault="00235573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t>GEL ASSORBI-ODORI FRESH PLUS-FRIDGE/POCHŁANIACZ ZAPACHÓW W LODÓWCE FRESH-PLUS ELECTROLUX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0EBF"/>
    <w:rsid w:val="00235573"/>
    <w:rsid w:val="003F6F92"/>
    <w:rsid w:val="006D4B1E"/>
    <w:rsid w:val="008162F3"/>
    <w:rsid w:val="00A43240"/>
    <w:rsid w:val="00D7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00FF"/>
      <w:sz w:val="22"/>
      <w:szCs w:val="22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8000"/>
      <w:sz w:val="28"/>
      <w:szCs w:val="28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  <w:color w:val="008000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1595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dc:description/>
  <cp:lastModifiedBy>golebber</cp:lastModifiedBy>
  <cp:revision>2</cp:revision>
  <dcterms:created xsi:type="dcterms:W3CDTF">2013-06-10T07:49:00Z</dcterms:created>
  <dcterms:modified xsi:type="dcterms:W3CDTF">2013-06-10T07:49:00Z</dcterms:modified>
</cp:coreProperties>
</file>